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9752" w:val="right"/>
        </w:tabs>
      </w:pPr>
      <w:r>
        <w:rPr>
          <w:color w:val="5C5E63"/>
          <w:sz w:val="18"/>
          <w:highlight w:val="lightGray"/>
        </w:rPr>
        <w:t>[Name Ihres Unternehmens]</w:t>
      </w:r>
      <w:r>
        <w:rPr>
          <w:color w:val="5C5E63"/>
          <w:sz w:val="18"/>
        </w:rPr>
        <w:tab/>
        <w:t xml:space="preserve">Stand </w:t>
      </w:r>
      <w:r>
        <w:rPr>
          <w:color w:val="5C5E63"/>
          <w:sz w:val="18"/>
          <w:highlight w:val="lightGray"/>
        </w:rPr>
        <w:t>[Datum]</w:t>
      </w:r>
    </w:p>
    <w:p>
      <w:pPr>
        <w:spacing w:before="440" w:after="160"/>
      </w:pPr>
      <w:r>
        <w:rPr>
          <w:b/>
          <w:sz w:val="52"/>
        </w:rPr>
        <w:t>AI-Richtlinie</w:t>
      </w:r>
    </w:p>
    <w:p>
      <w:pPr>
        <w:spacing w:after="320"/>
      </w:pPr>
      <w:r>
        <w:rPr>
          <w:sz w:val="22"/>
        </w:rPr>
        <w:t xml:space="preserve">Diese sechs Regeln gelten für alle, die bei </w:t>
      </w:r>
      <w:r>
        <w:rPr>
          <w:sz w:val="22"/>
          <w:highlight w:val="lightGray"/>
        </w:rPr>
        <w:t>[Name Ihres Unternehmens]</w:t>
      </w:r>
      <w:r>
        <w:rPr>
          <w:sz w:val="22"/>
        </w:rPr>
        <w:t xml:space="preserve"> mit AI-Werkzeugen arbeiten, auch für Partner in unserem Auftrag. Sie passen auf eine Seite, damit jede und jeder sie kennt.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041"/>
        <w:gridCol w:w="7711"/>
      </w:tblGrid>
      <w:tr>
        <w:tc>
          <w:tcPr>
            <w:tcW w:type="dxa" w:w="2041"/>
            <w:tcBorders>
              <w:top w:val="single" w:sz="6" w:color="1A1A1A"/>
              <w:left w:val="nil"/>
              <w:bottom w:val="single" w:sz="4" w:color="CFCFCF"/>
              <w:right w:val="nil"/>
            </w:tcBorders>
          </w:tcPr>
          <w:p>
            <w:pPr>
              <w:spacing w:before="140" w:after="140"/>
            </w:pPr>
            <w:r>
              <w:rPr>
                <w:color w:val="5C5E63"/>
              </w:rPr>
              <w:t xml:space="preserve">1  </w:t>
            </w:r>
            <w:r>
              <w:rPr>
                <w:b/>
              </w:rPr>
              <w:t>Werkzeuge</w:t>
            </w:r>
          </w:p>
        </w:tc>
        <w:tc>
          <w:tcPr>
            <w:tcW w:type="dxa" w:w="7711"/>
            <w:tcBorders>
              <w:top w:val="single" w:sz="6" w:color="1A1A1A"/>
              <w:left w:val="nil"/>
              <w:bottom w:val="single" w:sz="4" w:color="CFCFCF"/>
              <w:right w:val="nil"/>
            </w:tcBorders>
          </w:tcPr>
          <w:p>
            <w:pPr>
              <w:spacing w:before="140" w:after="140"/>
            </w:pPr>
            <w:r>
              <w:t xml:space="preserve">Für die Arbeit nutzen wir nur freigegebene AI-Werkzeuge mit Firmenkonto: </w:t>
            </w:r>
            <w:r>
              <w:rPr>
                <w:highlight w:val="lightGray"/>
              </w:rPr>
              <w:t>[freigegebene Werkzeuge, z. B. Microsoft Copilot]</w:t>
            </w:r>
            <w:r>
              <w:t xml:space="preserve">. Private Konten nutzen wir dafür nicht. Neue Werkzeuge gibt </w:t>
            </w:r>
            <w:r>
              <w:rPr>
                <w:highlight w:val="lightGray"/>
              </w:rPr>
              <w:t>[Ansprechperson]</w:t>
            </w:r>
            <w:r>
              <w:t xml:space="preserve"> frei.</w:t>
            </w:r>
          </w:p>
        </w:tc>
      </w:tr>
      <w:tr>
        <w:tc>
          <w:tcPr>
            <w:tcW w:type="dxa" w:w="2041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140" w:after="140"/>
            </w:pPr>
            <w:r>
              <w:rPr>
                <w:color w:val="5C5E63"/>
              </w:rPr>
              <w:t xml:space="preserve">2  </w:t>
            </w:r>
            <w:r>
              <w:rPr>
                <w:b/>
              </w:rPr>
              <w:t>Daten</w:t>
            </w:r>
          </w:p>
        </w:tc>
        <w:tc>
          <w:tcPr>
            <w:tcW w:type="dxa" w:w="7711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140" w:after="140"/>
            </w:pPr>
            <w:r>
              <w:t xml:space="preserve">Was in ein Werkzeug darf, entscheidet die Datenampel. Grün: öffentliche Informationen und eigene Entwürfe. Gelb, nur im Firmenkonto: Angebote, Handbücher und Kundendaten ohne Namen; Kundendaten mit Namen erst nach Prüfung des Falls. Rot, nie: Personal- und Gesundheitsdaten, Passwörter und Kalkulationen vor der Freigabe. </w:t>
            </w:r>
            <w:r>
              <w:rPr>
                <w:highlight w:val="lightGray"/>
              </w:rPr>
              <w:t>[Datenklassen Ihres Hauses ergänzen]</w:t>
            </w:r>
          </w:p>
        </w:tc>
      </w:tr>
      <w:tr>
        <w:tc>
          <w:tcPr>
            <w:tcW w:type="dxa" w:w="2041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140" w:after="140"/>
            </w:pPr>
            <w:r>
              <w:rPr>
                <w:color w:val="5C5E63"/>
              </w:rPr>
              <w:t xml:space="preserve">3  </w:t>
            </w:r>
            <w:r>
              <w:rPr>
                <w:b/>
              </w:rPr>
              <w:t>Prüfen</w:t>
            </w:r>
          </w:p>
        </w:tc>
        <w:tc>
          <w:tcPr>
            <w:tcW w:type="dxa" w:w="7711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140" w:after="140"/>
            </w:pPr>
            <w:r>
              <w:t>Die AI kann sich irren und klingt dabei sicher. Wer ein Ergebnis verwendet, prüft vorher Zahlen, Namen, Termine und Quellen. Texte an Kunden liest vor dem Versand ein Mensch gegen.</w:t>
            </w:r>
          </w:p>
        </w:tc>
      </w:tr>
      <w:tr>
        <w:tc>
          <w:tcPr>
            <w:tcW w:type="dxa" w:w="2041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140" w:after="140"/>
            </w:pPr>
            <w:r>
              <w:rPr>
                <w:color w:val="5C5E63"/>
              </w:rPr>
              <w:t xml:space="preserve">4  </w:t>
            </w:r>
            <w:r>
              <w:rPr>
                <w:b/>
              </w:rPr>
              <w:t>Entscheiden</w:t>
            </w:r>
          </w:p>
        </w:tc>
        <w:tc>
          <w:tcPr>
            <w:tcW w:type="dxa" w:w="7711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140" w:after="140"/>
            </w:pPr>
            <w:r>
              <w:t>Die AI schlägt vor. Der Mensch entscheidet. Über Menschen, Geld und Verträge entscheidet immer eine Person, die das Ergebnis verantwortet.</w:t>
            </w:r>
          </w:p>
        </w:tc>
      </w:tr>
      <w:tr>
        <w:tc>
          <w:tcPr>
            <w:tcW w:type="dxa" w:w="2041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140" w:after="140"/>
            </w:pPr>
            <w:r>
              <w:rPr>
                <w:color w:val="5C5E63"/>
              </w:rPr>
              <w:t xml:space="preserve">5  </w:t>
            </w:r>
            <w:r>
              <w:rPr>
                <w:b/>
              </w:rPr>
              <w:t>Offenlegen</w:t>
            </w:r>
          </w:p>
        </w:tc>
        <w:tc>
          <w:tcPr>
            <w:tcW w:type="dxa" w:w="7711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140" w:after="140"/>
            </w:pPr>
            <w:r>
              <w:t xml:space="preserve">Wir sagen offen, wo AI mitgearbeitet hat, wenn es für andere zählt. Für Texte und Bilder an Kunden und Öffentlichkeit gilt: </w:t>
            </w:r>
            <w:r>
              <w:rPr>
                <w:highlight w:val="lightGray"/>
              </w:rPr>
              <w:t>[Regel Ihres Hauses zur Kennzeichnung]</w:t>
            </w:r>
            <w:r>
              <w:t>.</w:t>
            </w:r>
          </w:p>
        </w:tc>
      </w:tr>
      <w:tr>
        <w:tc>
          <w:tcPr>
            <w:tcW w:type="dxa" w:w="2041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140" w:after="140"/>
            </w:pPr>
            <w:r>
              <w:rPr>
                <w:color w:val="5C5E63"/>
              </w:rPr>
              <w:t xml:space="preserve">6  </w:t>
            </w:r>
            <w:r>
              <w:rPr>
                <w:b/>
              </w:rPr>
              <w:t>Fragen</w:t>
            </w:r>
          </w:p>
        </w:tc>
        <w:tc>
          <w:tcPr>
            <w:tcW w:type="dxa" w:w="7711"/>
            <w:tcBorders>
              <w:top w:val="nil"/>
              <w:left w:val="nil"/>
              <w:bottom w:val="single" w:sz="4" w:color="CFCFCF"/>
              <w:right w:val="nil"/>
            </w:tcBorders>
          </w:tcPr>
          <w:p>
            <w:pPr>
              <w:spacing w:before="140" w:after="140"/>
            </w:pPr>
            <w:r>
              <w:t xml:space="preserve">Im Zweifel fragen Sie, bevor Sie etwas eingeben: </w:t>
            </w:r>
            <w:r>
              <w:rPr>
                <w:highlight w:val="lightGray"/>
              </w:rPr>
              <w:t>[Name, E-Mail, Telefon]</w:t>
            </w:r>
            <w:r>
              <w:t>. Fehler und auffällige Ergebnisse melden Sie dort sofort. Wer früh meldet, schützt alle.</w:t>
            </w:r>
          </w:p>
        </w:tc>
      </w:tr>
    </w:tbl>
    <w:p>
      <w:pPr>
        <w:spacing w:before="520"/>
      </w:pPr>
      <w:r>
        <w:t>Ich habe die Regeln gelesen und wende sie an.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601"/>
        <w:gridCol w:w="454"/>
        <w:gridCol w:w="2601"/>
        <w:gridCol w:w="454"/>
        <w:gridCol w:w="3642"/>
      </w:tblGrid>
      <w:tr>
        <w:tc>
          <w:tcPr>
            <w:tcW w:type="dxa" w:w="2601"/>
          </w:tcPr>
          <w:p>
            <w:pPr>
              <w:spacing w:before="520"/>
            </w:pPr>
          </w:p>
        </w:tc>
        <w:tc>
          <w:tcPr>
            <w:tcW w:type="dxa" w:w="454"/>
          </w:tcPr>
          <w:p/>
        </w:tc>
        <w:tc>
          <w:tcPr>
            <w:tcW w:type="dxa" w:w="2601"/>
          </w:tcPr>
          <w:p>
            <w:pPr>
              <w:spacing w:before="520"/>
            </w:pPr>
          </w:p>
        </w:tc>
        <w:tc>
          <w:tcPr>
            <w:tcW w:type="dxa" w:w="454"/>
          </w:tcPr>
          <w:p/>
        </w:tc>
        <w:tc>
          <w:tcPr>
            <w:tcW w:type="dxa" w:w="3642"/>
          </w:tcPr>
          <w:p>
            <w:pPr>
              <w:spacing w:before="520"/>
            </w:pPr>
          </w:p>
        </w:tc>
      </w:tr>
      <w:tr>
        <w:tc>
          <w:tcPr>
            <w:tcW w:type="dxa" w:w="2601"/>
            <w:tcBorders>
              <w:top w:val="single" w:sz="6" w:color="1A1A1A"/>
              <w:left w:val="nil"/>
              <w:bottom w:val="nil"/>
              <w:right w:val="nil"/>
            </w:tcBorders>
          </w:tcPr>
          <w:p>
            <w:r>
              <w:rPr>
                <w:color w:val="5C5E63"/>
                <w:sz w:val="16"/>
              </w:rPr>
              <w:t>Name</w:t>
            </w:r>
          </w:p>
        </w:tc>
        <w:tc>
          <w:tcPr>
            <w:tcW w:type="dxa" w:w="454"/>
          </w:tcPr>
          <w:p/>
        </w:tc>
        <w:tc>
          <w:tcPr>
            <w:tcW w:type="dxa" w:w="2601"/>
            <w:tcBorders>
              <w:top w:val="single" w:sz="6" w:color="1A1A1A"/>
              <w:left w:val="nil"/>
              <w:bottom w:val="nil"/>
              <w:right w:val="nil"/>
            </w:tcBorders>
          </w:tcPr>
          <w:p>
            <w:r>
              <w:rPr>
                <w:color w:val="5C5E63"/>
                <w:sz w:val="16"/>
              </w:rPr>
              <w:t>Datum</w:t>
            </w:r>
          </w:p>
        </w:tc>
        <w:tc>
          <w:tcPr>
            <w:tcW w:type="dxa" w:w="454"/>
          </w:tcPr>
          <w:p/>
        </w:tc>
        <w:tc>
          <w:tcPr>
            <w:tcW w:type="dxa" w:w="3642"/>
            <w:tcBorders>
              <w:top w:val="single" w:sz="6" w:color="1A1A1A"/>
              <w:left w:val="nil"/>
              <w:bottom w:val="nil"/>
              <w:right w:val="nil"/>
            </w:tcBorders>
          </w:tcPr>
          <w:p>
            <w:r>
              <w:rPr>
                <w:color w:val="5C5E63"/>
                <w:sz w:val="16"/>
              </w:rPr>
              <w:t>Unterschrift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drawing>
        <wp:inline xmlns:a="http://schemas.openxmlformats.org/drawingml/2006/main" xmlns:pic="http://schemas.openxmlformats.org/drawingml/2006/picture">
          <wp:extent cx="540000" cy="1161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da-wortmarke-2026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0" cy="1161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5C5E63"/>
        <w:sz w:val="15"/>
      </w:rPr>
      <w:t xml:space="preserve">    Vorlage von ADA Impact, kostenlos unter www.ada-impact.de/vorlage-ki-richtlinie.html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AI-Richtlinie (Vorlage)</dc:title>
  <dc:subject/>
  <dc:creator>ADA Impact</dc:creator>
  <cp:keywords/>
  <dc:description>generated by python-docx</dc:description>
  <cp:lastModifiedBy>ADA Impact</cp:lastModifiedBy>
  <cp:revision>1</cp:revision>
  <dcterms:created xsi:type="dcterms:W3CDTF">2026-10-22T09:00:00Z</dcterms:created>
  <dcterms:modified xsi:type="dcterms:W3CDTF">2026-10-22T09:00:00Z</dcterms:modified>
  <cp:category/>
</cp:coreProperties>
</file>